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19F4" w:rsidRDefault="000D451A">
      <w:r>
        <w:rPr>
          <w:noProof/>
        </w:rPr>
        <w:drawing>
          <wp:inline distT="0" distB="0" distL="0" distR="0">
            <wp:extent cx="5731510" cy="3605653"/>
            <wp:effectExtent l="19050" t="0" r="21590" b="0"/>
            <wp:docPr id="1" name="개체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sectPr w:rsidR="009519F4" w:rsidSect="000C6AA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</w:compat>
  <w:rsids>
    <w:rsidRoot w:val="000D451A"/>
    <w:rsid w:val="000A001B"/>
    <w:rsid w:val="000C6AAE"/>
    <w:rsid w:val="000D451A"/>
    <w:rsid w:val="00172AF3"/>
    <w:rsid w:val="00175877"/>
    <w:rsid w:val="00236158"/>
    <w:rsid w:val="00426D32"/>
    <w:rsid w:val="004575AB"/>
    <w:rsid w:val="004F19D8"/>
    <w:rsid w:val="005066D2"/>
    <w:rsid w:val="00524A06"/>
    <w:rsid w:val="0057058F"/>
    <w:rsid w:val="00625EFE"/>
    <w:rsid w:val="006619F6"/>
    <w:rsid w:val="006A4556"/>
    <w:rsid w:val="006B292E"/>
    <w:rsid w:val="006D44F5"/>
    <w:rsid w:val="00703A7A"/>
    <w:rsid w:val="008243F6"/>
    <w:rsid w:val="008B4581"/>
    <w:rsid w:val="009D60DF"/>
    <w:rsid w:val="009E1FBB"/>
    <w:rsid w:val="009F4049"/>
    <w:rsid w:val="00A40FD5"/>
    <w:rsid w:val="00AC6DFB"/>
    <w:rsid w:val="00AE17E1"/>
    <w:rsid w:val="00B42899"/>
    <w:rsid w:val="00BF4A3F"/>
    <w:rsid w:val="00C264D0"/>
    <w:rsid w:val="00D809FD"/>
    <w:rsid w:val="00E46836"/>
    <w:rsid w:val="00EA5595"/>
    <w:rsid w:val="00F3199A"/>
    <w:rsid w:val="00F944A1"/>
    <w:rsid w:val="00FC5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6158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0D451A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0D451A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____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ko-KR"/>
  <c:chart>
    <c:title>
      <c:tx>
        <c:rich>
          <a:bodyPr/>
          <a:lstStyle/>
          <a:p>
            <a:pPr>
              <a:defRPr sz="1801" b="1" i="0" u="none" strike="noStrike" baseline="0">
                <a:solidFill>
                  <a:srgbClr val="000000"/>
                </a:solidFill>
                <a:latin typeface="돋움"/>
                <a:ea typeface="돋움"/>
                <a:cs typeface="돋움"/>
              </a:defRPr>
            </a:pPr>
            <a:r>
              <a:rPr lang="en-US" altLang="ko-KR"/>
              <a:t>1111-028203
(1112-1880-1)
</a:t>
            </a:r>
          </a:p>
        </c:rich>
      </c:tx>
      <c:layout>
        <c:manualLayout>
          <c:xMode val="edge"/>
          <c:yMode val="edge"/>
          <c:x val="0.36617647058823538"/>
          <c:y val="6.9929515449065833E-3"/>
        </c:manualLayout>
      </c:layout>
      <c:spPr>
        <a:noFill/>
        <a:ln w="25408">
          <a:noFill/>
        </a:ln>
      </c:spPr>
    </c:title>
    <c:plotArea>
      <c:layout>
        <c:manualLayout>
          <c:layoutTarget val="inner"/>
          <c:xMode val="edge"/>
          <c:yMode val="edge"/>
          <c:x val="0.15588235294117653"/>
          <c:y val="0.16083916083916089"/>
          <c:w val="0.82647058823529407"/>
          <c:h val="0.512820512820513"/>
        </c:manualLayout>
      </c:layout>
      <c:lineChart>
        <c:grouping val="standard"/>
        <c:ser>
          <c:idx val="1"/>
          <c:order val="0"/>
          <c:tx>
            <c:strRef>
              <c:f>Sheet1!$C$1</c:f>
              <c:strCache>
                <c:ptCount val="1"/>
                <c:pt idx="0">
                  <c:v>목탄색</c:v>
                </c:pt>
              </c:strCache>
            </c:strRef>
          </c:tx>
          <c:spPr>
            <a:ln w="12704">
              <a:solidFill>
                <a:srgbClr val="FF00FF"/>
              </a:solidFill>
              <a:prstDash val="solid"/>
            </a:ln>
          </c:spPr>
          <c:marker>
            <c:symbol val="square"/>
            <c:size val="5"/>
            <c:spPr>
              <a:solidFill>
                <a:srgbClr val="FF00FF"/>
              </a:solidFill>
              <a:ln>
                <a:solidFill>
                  <a:srgbClr val="FF00FF"/>
                </a:solidFill>
                <a:prstDash val="solid"/>
              </a:ln>
            </c:spPr>
          </c:marker>
          <c:cat>
            <c:numRef>
              <c:f>Sheet1!$B$2:$B$24</c:f>
              <c:numCache>
                <c:formatCode>General</c:formatCode>
                <c:ptCount val="23"/>
                <c:pt idx="0">
                  <c:v>600</c:v>
                </c:pt>
                <c:pt idx="1">
                  <c:v>620</c:v>
                </c:pt>
                <c:pt idx="2">
                  <c:v>640</c:v>
                </c:pt>
                <c:pt idx="3">
                  <c:v>660</c:v>
                </c:pt>
                <c:pt idx="4">
                  <c:v>680</c:v>
                </c:pt>
                <c:pt idx="5">
                  <c:v>700</c:v>
                </c:pt>
                <c:pt idx="6">
                  <c:v>720</c:v>
                </c:pt>
                <c:pt idx="7">
                  <c:v>740</c:v>
                </c:pt>
                <c:pt idx="8">
                  <c:v>760</c:v>
                </c:pt>
                <c:pt idx="9">
                  <c:v>780</c:v>
                </c:pt>
                <c:pt idx="10">
                  <c:v>800</c:v>
                </c:pt>
                <c:pt idx="11">
                  <c:v>820</c:v>
                </c:pt>
                <c:pt idx="12">
                  <c:v>840</c:v>
                </c:pt>
                <c:pt idx="13">
                  <c:v>860</c:v>
                </c:pt>
                <c:pt idx="14">
                  <c:v>880</c:v>
                </c:pt>
                <c:pt idx="15">
                  <c:v>900</c:v>
                </c:pt>
                <c:pt idx="16">
                  <c:v>920</c:v>
                </c:pt>
                <c:pt idx="17">
                  <c:v>940</c:v>
                </c:pt>
                <c:pt idx="18">
                  <c:v>960</c:v>
                </c:pt>
                <c:pt idx="19">
                  <c:v>980</c:v>
                </c:pt>
                <c:pt idx="20">
                  <c:v>1000</c:v>
                </c:pt>
                <c:pt idx="21">
                  <c:v>1020</c:v>
                </c:pt>
                <c:pt idx="22">
                  <c:v>1040</c:v>
                </c:pt>
              </c:numCache>
            </c:numRef>
          </c:cat>
          <c:val>
            <c:numRef>
              <c:f>Sheet1!$C$2:$C$24</c:f>
              <c:numCache>
                <c:formatCode>0.0</c:formatCode>
                <c:ptCount val="23"/>
                <c:pt idx="0">
                  <c:v>3.3037000000000001</c:v>
                </c:pt>
                <c:pt idx="1">
                  <c:v>3.3530499999999988</c:v>
                </c:pt>
                <c:pt idx="2">
                  <c:v>3.8589999999999991</c:v>
                </c:pt>
                <c:pt idx="3">
                  <c:v>5.6119499999999984</c:v>
                </c:pt>
                <c:pt idx="4">
                  <c:v>9.1938000000000013</c:v>
                </c:pt>
                <c:pt idx="5">
                  <c:v>15.161</c:v>
                </c:pt>
                <c:pt idx="6">
                  <c:v>23.292999999999992</c:v>
                </c:pt>
                <c:pt idx="7">
                  <c:v>30.951499999999992</c:v>
                </c:pt>
                <c:pt idx="8">
                  <c:v>36.1815</c:v>
                </c:pt>
                <c:pt idx="9">
                  <c:v>39.519500000000001</c:v>
                </c:pt>
                <c:pt idx="10">
                  <c:v>42.152500000000003</c:v>
                </c:pt>
                <c:pt idx="11">
                  <c:v>44.547000000000004</c:v>
                </c:pt>
                <c:pt idx="12">
                  <c:v>46.760500000000008</c:v>
                </c:pt>
                <c:pt idx="13">
                  <c:v>47.727000000000011</c:v>
                </c:pt>
                <c:pt idx="14">
                  <c:v>51.3</c:v>
                </c:pt>
                <c:pt idx="15">
                  <c:v>53.142500000000013</c:v>
                </c:pt>
                <c:pt idx="16">
                  <c:v>55.010999999999996</c:v>
                </c:pt>
                <c:pt idx="17">
                  <c:v>56.624000000000009</c:v>
                </c:pt>
                <c:pt idx="18">
                  <c:v>58.124000000000009</c:v>
                </c:pt>
                <c:pt idx="19">
                  <c:v>59.351499999999994</c:v>
                </c:pt>
                <c:pt idx="20">
                  <c:v>60.707500000000003</c:v>
                </c:pt>
                <c:pt idx="21">
                  <c:v>61.928000000000011</c:v>
                </c:pt>
                <c:pt idx="22">
                  <c:v>63.167500000000011</c:v>
                </c:pt>
              </c:numCache>
            </c:numRef>
          </c:val>
        </c:ser>
        <c:ser>
          <c:idx val="0"/>
          <c:order val="1"/>
          <c:tx>
            <c:strRef>
              <c:f>Sheet1!$F$1</c:f>
              <c:strCache>
                <c:ptCount val="1"/>
                <c:pt idx="0">
                  <c:v>초콜릿색</c:v>
                </c:pt>
              </c:strCache>
            </c:strRef>
          </c:tx>
          <c:spPr>
            <a:ln w="12704">
              <a:solidFill>
                <a:srgbClr val="000080"/>
              </a:solidFill>
              <a:prstDash val="solid"/>
            </a:ln>
          </c:spPr>
          <c:marker>
            <c:symbol val="diamond"/>
            <c:size val="5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Sheet1!$B$2:$B$24</c:f>
              <c:numCache>
                <c:formatCode>General</c:formatCode>
                <c:ptCount val="23"/>
                <c:pt idx="0">
                  <c:v>600</c:v>
                </c:pt>
                <c:pt idx="1">
                  <c:v>620</c:v>
                </c:pt>
                <c:pt idx="2">
                  <c:v>640</c:v>
                </c:pt>
                <c:pt idx="3">
                  <c:v>660</c:v>
                </c:pt>
                <c:pt idx="4">
                  <c:v>680</c:v>
                </c:pt>
                <c:pt idx="5">
                  <c:v>700</c:v>
                </c:pt>
                <c:pt idx="6">
                  <c:v>720</c:v>
                </c:pt>
                <c:pt idx="7">
                  <c:v>740</c:v>
                </c:pt>
                <c:pt idx="8">
                  <c:v>760</c:v>
                </c:pt>
                <c:pt idx="9">
                  <c:v>780</c:v>
                </c:pt>
                <c:pt idx="10">
                  <c:v>800</c:v>
                </c:pt>
                <c:pt idx="11">
                  <c:v>820</c:v>
                </c:pt>
                <c:pt idx="12">
                  <c:v>840</c:v>
                </c:pt>
                <c:pt idx="13">
                  <c:v>860</c:v>
                </c:pt>
                <c:pt idx="14">
                  <c:v>880</c:v>
                </c:pt>
                <c:pt idx="15">
                  <c:v>900</c:v>
                </c:pt>
                <c:pt idx="16">
                  <c:v>920</c:v>
                </c:pt>
                <c:pt idx="17">
                  <c:v>940</c:v>
                </c:pt>
                <c:pt idx="18">
                  <c:v>960</c:v>
                </c:pt>
                <c:pt idx="19">
                  <c:v>980</c:v>
                </c:pt>
                <c:pt idx="20">
                  <c:v>1000</c:v>
                </c:pt>
                <c:pt idx="21">
                  <c:v>1020</c:v>
                </c:pt>
                <c:pt idx="22">
                  <c:v>1040</c:v>
                </c:pt>
              </c:numCache>
            </c:numRef>
          </c:cat>
          <c:val>
            <c:numRef>
              <c:f>Sheet1!$F$2:$F$24</c:f>
              <c:numCache>
                <c:formatCode>0.0</c:formatCode>
                <c:ptCount val="23"/>
                <c:pt idx="0">
                  <c:v>5.46685</c:v>
                </c:pt>
                <c:pt idx="1">
                  <c:v>5.7701499999999992</c:v>
                </c:pt>
                <c:pt idx="2">
                  <c:v>6.9927000000000001</c:v>
                </c:pt>
                <c:pt idx="3">
                  <c:v>10.403000000000002</c:v>
                </c:pt>
                <c:pt idx="4">
                  <c:v>15.483000000000002</c:v>
                </c:pt>
                <c:pt idx="5">
                  <c:v>21.177999999999997</c:v>
                </c:pt>
                <c:pt idx="6">
                  <c:v>27.298999999999992</c:v>
                </c:pt>
                <c:pt idx="7">
                  <c:v>32.743500000000012</c:v>
                </c:pt>
                <c:pt idx="8">
                  <c:v>36.626500000000014</c:v>
                </c:pt>
                <c:pt idx="9">
                  <c:v>39.359499999999997</c:v>
                </c:pt>
                <c:pt idx="10">
                  <c:v>41.819500000000005</c:v>
                </c:pt>
                <c:pt idx="11">
                  <c:v>44.166500000000013</c:v>
                </c:pt>
                <c:pt idx="12">
                  <c:v>46.528000000000013</c:v>
                </c:pt>
                <c:pt idx="13">
                  <c:v>48.843500000000006</c:v>
                </c:pt>
                <c:pt idx="14">
                  <c:v>51.042500000000011</c:v>
                </c:pt>
                <c:pt idx="15">
                  <c:v>52.902000000000001</c:v>
                </c:pt>
                <c:pt idx="16">
                  <c:v>54.749500000000012</c:v>
                </c:pt>
                <c:pt idx="17">
                  <c:v>56.307500000000005</c:v>
                </c:pt>
                <c:pt idx="18">
                  <c:v>58.006500000000003</c:v>
                </c:pt>
                <c:pt idx="19">
                  <c:v>59.213000000000001</c:v>
                </c:pt>
                <c:pt idx="20">
                  <c:v>60.467500000000001</c:v>
                </c:pt>
                <c:pt idx="21">
                  <c:v>61.594000000000001</c:v>
                </c:pt>
                <c:pt idx="22">
                  <c:v>62.732000000000014</c:v>
                </c:pt>
              </c:numCache>
            </c:numRef>
          </c:val>
        </c:ser>
        <c:ser>
          <c:idx val="2"/>
          <c:order val="2"/>
          <c:tx>
            <c:strRef>
              <c:f>Sheet1!$I$1</c:f>
              <c:strCache>
                <c:ptCount val="1"/>
                <c:pt idx="0">
                  <c:v>Olive</c:v>
                </c:pt>
              </c:strCache>
            </c:strRef>
          </c:tx>
          <c:spPr>
            <a:ln w="12704">
              <a:solidFill>
                <a:srgbClr val="FFFF00"/>
              </a:solidFill>
              <a:prstDash val="solid"/>
            </a:ln>
          </c:spPr>
          <c:marker>
            <c:symbol val="triangle"/>
            <c:size val="5"/>
            <c:spPr>
              <a:solidFill>
                <a:srgbClr val="FFFF00"/>
              </a:solidFill>
              <a:ln>
                <a:solidFill>
                  <a:srgbClr val="FFFF00"/>
                </a:solidFill>
                <a:prstDash val="solid"/>
              </a:ln>
            </c:spPr>
          </c:marker>
          <c:cat>
            <c:numRef>
              <c:f>Sheet1!$B$2:$B$24</c:f>
              <c:numCache>
                <c:formatCode>General</c:formatCode>
                <c:ptCount val="23"/>
                <c:pt idx="0">
                  <c:v>600</c:v>
                </c:pt>
                <c:pt idx="1">
                  <c:v>620</c:v>
                </c:pt>
                <c:pt idx="2">
                  <c:v>640</c:v>
                </c:pt>
                <c:pt idx="3">
                  <c:v>660</c:v>
                </c:pt>
                <c:pt idx="4">
                  <c:v>680</c:v>
                </c:pt>
                <c:pt idx="5">
                  <c:v>700</c:v>
                </c:pt>
                <c:pt idx="6">
                  <c:v>720</c:v>
                </c:pt>
                <c:pt idx="7">
                  <c:v>740</c:v>
                </c:pt>
                <c:pt idx="8">
                  <c:v>760</c:v>
                </c:pt>
                <c:pt idx="9">
                  <c:v>780</c:v>
                </c:pt>
                <c:pt idx="10">
                  <c:v>800</c:v>
                </c:pt>
                <c:pt idx="11">
                  <c:v>820</c:v>
                </c:pt>
                <c:pt idx="12">
                  <c:v>840</c:v>
                </c:pt>
                <c:pt idx="13">
                  <c:v>860</c:v>
                </c:pt>
                <c:pt idx="14">
                  <c:v>880</c:v>
                </c:pt>
                <c:pt idx="15">
                  <c:v>900</c:v>
                </c:pt>
                <c:pt idx="16">
                  <c:v>920</c:v>
                </c:pt>
                <c:pt idx="17">
                  <c:v>940</c:v>
                </c:pt>
                <c:pt idx="18">
                  <c:v>960</c:v>
                </c:pt>
                <c:pt idx="19">
                  <c:v>980</c:v>
                </c:pt>
                <c:pt idx="20">
                  <c:v>1000</c:v>
                </c:pt>
                <c:pt idx="21">
                  <c:v>1020</c:v>
                </c:pt>
                <c:pt idx="22">
                  <c:v>1040</c:v>
                </c:pt>
              </c:numCache>
            </c:numRef>
          </c:cat>
          <c:val>
            <c:numRef>
              <c:f>Sheet1!$I$2:$I$24</c:f>
              <c:numCache>
                <c:formatCode>0.0</c:formatCode>
                <c:ptCount val="23"/>
                <c:pt idx="0">
                  <c:v>6.2318500000000014</c:v>
                </c:pt>
                <c:pt idx="1">
                  <c:v>6.1289999999999978</c:v>
                </c:pt>
                <c:pt idx="2">
                  <c:v>6.3510999999999997</c:v>
                </c:pt>
                <c:pt idx="3">
                  <c:v>7.2381000000000002</c:v>
                </c:pt>
                <c:pt idx="4">
                  <c:v>9.4183500000000002</c:v>
                </c:pt>
                <c:pt idx="5">
                  <c:v>13.305000000000003</c:v>
                </c:pt>
                <c:pt idx="6">
                  <c:v>18.461999999999993</c:v>
                </c:pt>
                <c:pt idx="7">
                  <c:v>23.588999999999988</c:v>
                </c:pt>
                <c:pt idx="8">
                  <c:v>27.396999999999991</c:v>
                </c:pt>
                <c:pt idx="9">
                  <c:v>30.201499999999992</c:v>
                </c:pt>
                <c:pt idx="10">
                  <c:v>32.889499999999998</c:v>
                </c:pt>
                <c:pt idx="11">
                  <c:v>35.754000000000005</c:v>
                </c:pt>
                <c:pt idx="12">
                  <c:v>38.992000000000012</c:v>
                </c:pt>
                <c:pt idx="13">
                  <c:v>42.673500000000011</c:v>
                </c:pt>
                <c:pt idx="14">
                  <c:v>46.638500000000015</c:v>
                </c:pt>
                <c:pt idx="15">
                  <c:v>50.545500000000011</c:v>
                </c:pt>
                <c:pt idx="16">
                  <c:v>54.774500000000003</c:v>
                </c:pt>
                <c:pt idx="17">
                  <c:v>58.783000000000001</c:v>
                </c:pt>
                <c:pt idx="18">
                  <c:v>62.722000000000016</c:v>
                </c:pt>
                <c:pt idx="19">
                  <c:v>66.124500000000012</c:v>
                </c:pt>
                <c:pt idx="20">
                  <c:v>69.299499999999995</c:v>
                </c:pt>
                <c:pt idx="21">
                  <c:v>72.111000000000004</c:v>
                </c:pt>
                <c:pt idx="22">
                  <c:v>74.643500000000003</c:v>
                </c:pt>
              </c:numCache>
            </c:numRef>
          </c:val>
        </c:ser>
        <c:ser>
          <c:idx val="3"/>
          <c:order val="3"/>
          <c:tx>
            <c:strRef>
              <c:f>Sheet1!$L$1</c:f>
              <c:strCache>
                <c:ptCount val="1"/>
                <c:pt idx="0">
                  <c:v>green</c:v>
                </c:pt>
              </c:strCache>
            </c:strRef>
          </c:tx>
          <c:spPr>
            <a:ln w="12704">
              <a:solidFill>
                <a:srgbClr val="00FFFF"/>
              </a:solidFill>
              <a:prstDash val="solid"/>
            </a:ln>
          </c:spPr>
          <c:marker>
            <c:symbol val="x"/>
            <c:size val="5"/>
            <c:spPr>
              <a:noFill/>
              <a:ln>
                <a:solidFill>
                  <a:srgbClr val="00FFFF"/>
                </a:solidFill>
                <a:prstDash val="solid"/>
              </a:ln>
            </c:spPr>
          </c:marker>
          <c:cat>
            <c:numRef>
              <c:f>Sheet1!$B$2:$B$24</c:f>
              <c:numCache>
                <c:formatCode>General</c:formatCode>
                <c:ptCount val="23"/>
                <c:pt idx="0">
                  <c:v>600</c:v>
                </c:pt>
                <c:pt idx="1">
                  <c:v>620</c:v>
                </c:pt>
                <c:pt idx="2">
                  <c:v>640</c:v>
                </c:pt>
                <c:pt idx="3">
                  <c:v>660</c:v>
                </c:pt>
                <c:pt idx="4">
                  <c:v>680</c:v>
                </c:pt>
                <c:pt idx="5">
                  <c:v>700</c:v>
                </c:pt>
                <c:pt idx="6">
                  <c:v>720</c:v>
                </c:pt>
                <c:pt idx="7">
                  <c:v>740</c:v>
                </c:pt>
                <c:pt idx="8">
                  <c:v>760</c:v>
                </c:pt>
                <c:pt idx="9">
                  <c:v>780</c:v>
                </c:pt>
                <c:pt idx="10">
                  <c:v>800</c:v>
                </c:pt>
                <c:pt idx="11">
                  <c:v>820</c:v>
                </c:pt>
                <c:pt idx="12">
                  <c:v>840</c:v>
                </c:pt>
                <c:pt idx="13">
                  <c:v>860</c:v>
                </c:pt>
                <c:pt idx="14">
                  <c:v>880</c:v>
                </c:pt>
                <c:pt idx="15">
                  <c:v>900</c:v>
                </c:pt>
                <c:pt idx="16">
                  <c:v>920</c:v>
                </c:pt>
                <c:pt idx="17">
                  <c:v>940</c:v>
                </c:pt>
                <c:pt idx="18">
                  <c:v>960</c:v>
                </c:pt>
                <c:pt idx="19">
                  <c:v>980</c:v>
                </c:pt>
                <c:pt idx="20">
                  <c:v>1000</c:v>
                </c:pt>
                <c:pt idx="21">
                  <c:v>1020</c:v>
                </c:pt>
                <c:pt idx="22">
                  <c:v>1040</c:v>
                </c:pt>
              </c:numCache>
            </c:numRef>
          </c:cat>
          <c:val>
            <c:numRef>
              <c:f>Sheet1!$L$2:$L$24</c:f>
              <c:numCache>
                <c:formatCode>0.0</c:formatCode>
                <c:ptCount val="23"/>
                <c:pt idx="0">
                  <c:v>8.0004000000000008</c:v>
                </c:pt>
                <c:pt idx="1">
                  <c:v>8.1197000000000035</c:v>
                </c:pt>
                <c:pt idx="2">
                  <c:v>8.9403000000000006</c:v>
                </c:pt>
                <c:pt idx="3">
                  <c:v>11.035500000000004</c:v>
                </c:pt>
                <c:pt idx="4">
                  <c:v>15.335000000000004</c:v>
                </c:pt>
                <c:pt idx="5">
                  <c:v>22.643500000000003</c:v>
                </c:pt>
                <c:pt idx="6">
                  <c:v>32.4375</c:v>
                </c:pt>
                <c:pt idx="7">
                  <c:v>42.47</c:v>
                </c:pt>
                <c:pt idx="8">
                  <c:v>49.926000000000002</c:v>
                </c:pt>
                <c:pt idx="9">
                  <c:v>54.537000000000006</c:v>
                </c:pt>
                <c:pt idx="10">
                  <c:v>57.880499999999998</c:v>
                </c:pt>
                <c:pt idx="11">
                  <c:v>60.469500000000011</c:v>
                </c:pt>
                <c:pt idx="12">
                  <c:v>62.779000000000011</c:v>
                </c:pt>
                <c:pt idx="13">
                  <c:v>64.672499999999971</c:v>
                </c:pt>
                <c:pt idx="14">
                  <c:v>66.677500000000009</c:v>
                </c:pt>
                <c:pt idx="15">
                  <c:v>68.1995</c:v>
                </c:pt>
                <c:pt idx="16">
                  <c:v>69.635999999999981</c:v>
                </c:pt>
                <c:pt idx="17">
                  <c:v>70.909500000000023</c:v>
                </c:pt>
                <c:pt idx="18">
                  <c:v>72.264500000000027</c:v>
                </c:pt>
                <c:pt idx="19">
                  <c:v>73.093500000000006</c:v>
                </c:pt>
                <c:pt idx="20">
                  <c:v>74.002499999999998</c:v>
                </c:pt>
                <c:pt idx="21">
                  <c:v>74.842000000000013</c:v>
                </c:pt>
                <c:pt idx="22">
                  <c:v>75.813999999999993</c:v>
                </c:pt>
              </c:numCache>
            </c:numRef>
          </c:val>
        </c:ser>
        <c:ser>
          <c:idx val="4"/>
          <c:order val="4"/>
          <c:tx>
            <c:strRef>
              <c:f>Sheet1!$O$1</c:f>
              <c:strCache>
                <c:ptCount val="1"/>
                <c:pt idx="0">
                  <c:v>beige</c:v>
                </c:pt>
              </c:strCache>
            </c:strRef>
          </c:tx>
          <c:spPr>
            <a:ln w="12704">
              <a:solidFill>
                <a:srgbClr val="800080"/>
              </a:solidFill>
              <a:prstDash val="solid"/>
            </a:ln>
          </c:spPr>
          <c:marker>
            <c:symbol val="star"/>
            <c:size val="5"/>
            <c:spPr>
              <a:noFill/>
              <a:ln>
                <a:solidFill>
                  <a:srgbClr val="800080"/>
                </a:solidFill>
                <a:prstDash val="solid"/>
              </a:ln>
            </c:spPr>
          </c:marker>
          <c:cat>
            <c:numRef>
              <c:f>Sheet1!$B$2:$B$24</c:f>
              <c:numCache>
                <c:formatCode>General</c:formatCode>
                <c:ptCount val="23"/>
                <c:pt idx="0">
                  <c:v>600</c:v>
                </c:pt>
                <c:pt idx="1">
                  <c:v>620</c:v>
                </c:pt>
                <c:pt idx="2">
                  <c:v>640</c:v>
                </c:pt>
                <c:pt idx="3">
                  <c:v>660</c:v>
                </c:pt>
                <c:pt idx="4">
                  <c:v>680</c:v>
                </c:pt>
                <c:pt idx="5">
                  <c:v>700</c:v>
                </c:pt>
                <c:pt idx="6">
                  <c:v>720</c:v>
                </c:pt>
                <c:pt idx="7">
                  <c:v>740</c:v>
                </c:pt>
                <c:pt idx="8">
                  <c:v>760</c:v>
                </c:pt>
                <c:pt idx="9">
                  <c:v>780</c:v>
                </c:pt>
                <c:pt idx="10">
                  <c:v>800</c:v>
                </c:pt>
                <c:pt idx="11">
                  <c:v>820</c:v>
                </c:pt>
                <c:pt idx="12">
                  <c:v>840</c:v>
                </c:pt>
                <c:pt idx="13">
                  <c:v>860</c:v>
                </c:pt>
                <c:pt idx="14">
                  <c:v>880</c:v>
                </c:pt>
                <c:pt idx="15">
                  <c:v>900</c:v>
                </c:pt>
                <c:pt idx="16">
                  <c:v>920</c:v>
                </c:pt>
                <c:pt idx="17">
                  <c:v>940</c:v>
                </c:pt>
                <c:pt idx="18">
                  <c:v>960</c:v>
                </c:pt>
                <c:pt idx="19">
                  <c:v>980</c:v>
                </c:pt>
                <c:pt idx="20">
                  <c:v>1000</c:v>
                </c:pt>
                <c:pt idx="21">
                  <c:v>1020</c:v>
                </c:pt>
                <c:pt idx="22">
                  <c:v>1040</c:v>
                </c:pt>
              </c:numCache>
            </c:numRef>
          </c:cat>
          <c:val>
            <c:numRef>
              <c:f>Sheet1!$O$2:$O$24</c:f>
              <c:numCache>
                <c:formatCode>0.0</c:formatCode>
                <c:ptCount val="23"/>
                <c:pt idx="0">
                  <c:v>21.795999999999992</c:v>
                </c:pt>
                <c:pt idx="1">
                  <c:v>22.764499999999984</c:v>
                </c:pt>
                <c:pt idx="2">
                  <c:v>24.991999999999994</c:v>
                </c:pt>
                <c:pt idx="3">
                  <c:v>29.35949999999999</c:v>
                </c:pt>
                <c:pt idx="4">
                  <c:v>35.188000000000002</c:v>
                </c:pt>
                <c:pt idx="5">
                  <c:v>41.8065</c:v>
                </c:pt>
                <c:pt idx="6">
                  <c:v>48.472000000000001</c:v>
                </c:pt>
                <c:pt idx="7">
                  <c:v>53.821000000000005</c:v>
                </c:pt>
                <c:pt idx="8">
                  <c:v>57.366500000000002</c:v>
                </c:pt>
                <c:pt idx="9">
                  <c:v>59.794500000000014</c:v>
                </c:pt>
                <c:pt idx="10">
                  <c:v>61.964500000000001</c:v>
                </c:pt>
                <c:pt idx="11">
                  <c:v>64.000500000000002</c:v>
                </c:pt>
                <c:pt idx="12">
                  <c:v>66.009500000000003</c:v>
                </c:pt>
                <c:pt idx="13">
                  <c:v>67.649500000000003</c:v>
                </c:pt>
                <c:pt idx="14">
                  <c:v>69.407500000000027</c:v>
                </c:pt>
                <c:pt idx="15">
                  <c:v>70.657499999999999</c:v>
                </c:pt>
                <c:pt idx="16">
                  <c:v>71.960499999999996</c:v>
                </c:pt>
                <c:pt idx="17">
                  <c:v>72.919500000000028</c:v>
                </c:pt>
                <c:pt idx="18">
                  <c:v>73.853000000000009</c:v>
                </c:pt>
                <c:pt idx="19">
                  <c:v>74.426999999999992</c:v>
                </c:pt>
                <c:pt idx="20">
                  <c:v>74.977499999999992</c:v>
                </c:pt>
                <c:pt idx="21">
                  <c:v>75.532499999999999</c:v>
                </c:pt>
                <c:pt idx="22">
                  <c:v>76.199000000000012</c:v>
                </c:pt>
              </c:numCache>
            </c:numRef>
          </c:val>
        </c:ser>
        <c:marker val="1"/>
        <c:axId val="233366272"/>
        <c:axId val="233368576"/>
      </c:lineChart>
      <c:catAx>
        <c:axId val="233366272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1475" b="1" i="0" u="none" strike="noStrike" baseline="0">
                    <a:solidFill>
                      <a:srgbClr val="000000"/>
                    </a:solidFill>
                    <a:latin typeface="돋움"/>
                    <a:ea typeface="돋움"/>
                    <a:cs typeface="돋움"/>
                  </a:defRPr>
                </a:pPr>
                <a:r>
                  <a:rPr lang="en-US" altLang="en-US"/>
                  <a:t>nm</a:t>
                </a:r>
              </a:p>
            </c:rich>
          </c:tx>
          <c:layout>
            <c:manualLayout>
              <c:xMode val="edge"/>
              <c:yMode val="edge"/>
              <c:x val="0.51470588235294112"/>
              <c:y val="0.92074588840119598"/>
            </c:manualLayout>
          </c:layout>
          <c:spPr>
            <a:noFill/>
            <a:ln w="25408">
              <a:noFill/>
            </a:ln>
          </c:spPr>
        </c:title>
        <c:numFmt formatCode="General" sourceLinked="1"/>
        <c:majorTickMark val="in"/>
        <c:tickLblPos val="nextTo"/>
        <c:spPr>
          <a:ln w="3176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돋움"/>
                <a:ea typeface="돋움"/>
                <a:cs typeface="돋움"/>
              </a:defRPr>
            </a:pPr>
            <a:endParaRPr lang="ko-KR"/>
          </a:p>
        </c:txPr>
        <c:crossAx val="233368576"/>
        <c:crosses val="autoZero"/>
        <c:auto val="1"/>
        <c:lblAlgn val="ctr"/>
        <c:lblOffset val="100"/>
        <c:tickMarkSkip val="1"/>
      </c:catAx>
      <c:valAx>
        <c:axId val="233368576"/>
        <c:scaling>
          <c:orientation val="minMax"/>
          <c:max val="100"/>
        </c:scaling>
        <c:axPos val="l"/>
        <c:majorGridlines>
          <c:spPr>
            <a:ln w="3176">
              <a:solidFill>
                <a:srgbClr val="FFFFFF"/>
              </a:solidFill>
              <a:prstDash val="sysDash"/>
            </a:ln>
          </c:spPr>
        </c:majorGridlines>
        <c:title>
          <c:tx>
            <c:rich>
              <a:bodyPr/>
              <a:lstStyle/>
              <a:p>
                <a:pPr>
                  <a:defRPr sz="1475" b="1" i="0" u="none" strike="noStrike" baseline="0">
                    <a:solidFill>
                      <a:srgbClr val="000000"/>
                    </a:solidFill>
                    <a:latin typeface="돋움"/>
                    <a:ea typeface="돋움"/>
                    <a:cs typeface="돋움"/>
                  </a:defRPr>
                </a:pPr>
                <a:r>
                  <a:rPr lang="en-US" altLang="en-US"/>
                  <a:t>% R</a:t>
                </a:r>
              </a:p>
            </c:rich>
          </c:tx>
          <c:layout>
            <c:manualLayout>
              <c:xMode val="edge"/>
              <c:yMode val="edge"/>
              <c:x val="3.2352941176470605E-2"/>
              <c:y val="0.29836824523053562"/>
            </c:manualLayout>
          </c:layout>
          <c:spPr>
            <a:noFill/>
            <a:ln w="25408">
              <a:noFill/>
            </a:ln>
          </c:spPr>
        </c:title>
        <c:numFmt formatCode="0.0" sourceLinked="1"/>
        <c:majorTickMark val="in"/>
        <c:tickLblPos val="nextTo"/>
        <c:spPr>
          <a:ln w="3176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돋움"/>
                <a:ea typeface="돋움"/>
                <a:cs typeface="돋움"/>
              </a:defRPr>
            </a:pPr>
            <a:endParaRPr lang="ko-KR"/>
          </a:p>
        </c:txPr>
        <c:crossAx val="233366272"/>
        <c:crosses val="autoZero"/>
        <c:crossBetween val="between"/>
      </c:valAx>
      <c:dTable>
        <c:showHorzBorder val="1"/>
        <c:showVertBorder val="1"/>
        <c:showOutline val="1"/>
        <c:showKeys val="1"/>
        <c:spPr>
          <a:ln w="3176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600" b="0" i="0" u="none" strike="noStrike" baseline="0">
                <a:solidFill>
                  <a:srgbClr val="000000"/>
                </a:solidFill>
                <a:latin typeface="돋움"/>
                <a:ea typeface="돋움"/>
                <a:cs typeface="돋움"/>
              </a:defRPr>
            </a:pPr>
            <a:endParaRPr lang="ko-KR"/>
          </a:p>
        </c:txPr>
      </c:dTable>
      <c:spPr>
        <a:solidFill>
          <a:srgbClr val="FFFFFF"/>
        </a:solidFill>
        <a:ln w="3176">
          <a:solidFill>
            <a:srgbClr val="000000"/>
          </a:solidFill>
          <a:prstDash val="solid"/>
        </a:ln>
      </c:spPr>
    </c:plotArea>
    <c:plotVisOnly val="1"/>
    <c:dispBlanksAs val="gap"/>
  </c:chart>
  <c:spPr>
    <a:solidFill>
      <a:srgbClr val="FFFFFF"/>
    </a:solidFill>
    <a:ln w="3176">
      <a:solidFill>
        <a:srgbClr val="000000"/>
      </a:solidFill>
      <a:prstDash val="solid"/>
    </a:ln>
  </c:spPr>
  <c:txPr>
    <a:bodyPr/>
    <a:lstStyle/>
    <a:p>
      <a:pPr>
        <a:defRPr sz="1575" b="0" i="0" u="none" strike="noStrike" baseline="0">
          <a:solidFill>
            <a:srgbClr val="000000"/>
          </a:solidFill>
          <a:latin typeface="돋움"/>
          <a:ea typeface="돋움"/>
          <a:cs typeface="돋움"/>
        </a:defRPr>
      </a:pPr>
      <a:endParaRPr lang="ko-KR"/>
    </a:p>
  </c:txPr>
  <c:externalData r:id="rId1"/>
</c:chartSpace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0</Words>
  <Characters>1</Characters>
  <Application>Microsoft Office Word</Application>
  <DocSecurity>0</DocSecurity>
  <Lines>1</Lines>
  <Paragraphs>1</Paragraphs>
  <ScaleCrop>false</ScaleCrop>
  <Company>Your Company Name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1</cp:revision>
  <dcterms:created xsi:type="dcterms:W3CDTF">2012-01-18T07:17:00Z</dcterms:created>
  <dcterms:modified xsi:type="dcterms:W3CDTF">2012-01-18T07:25:00Z</dcterms:modified>
</cp:coreProperties>
</file>